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D5" w:rsidRPr="00517165" w:rsidRDefault="00EF51D5" w:rsidP="00EF51D5">
      <w:pPr>
        <w:pStyle w:val="Nadpis1"/>
        <w:rPr>
          <w:rFonts w:eastAsia="Times New Roman"/>
        </w:rPr>
      </w:pPr>
      <w:bookmarkStart w:id="0" w:name="_Toc94016845"/>
      <w:r w:rsidRPr="00517165">
        <w:rPr>
          <w:rFonts w:eastAsia="Times New Roman"/>
        </w:rPr>
        <w:t>SKUPINA 01 – ZP KRYCÍ</w:t>
      </w:r>
      <w:bookmarkEnd w:id="0"/>
    </w:p>
    <w:p w:rsidR="00EF51D5" w:rsidRPr="00517165" w:rsidRDefault="00EF51D5" w:rsidP="00EF51D5">
      <w:pPr>
        <w:spacing w:after="0" w:line="200" w:lineRule="exact"/>
        <w:rPr>
          <w:rFonts w:cstheme="minorHAnsi"/>
        </w:rPr>
      </w:pPr>
    </w:p>
    <w:p w:rsidR="00EF51D5" w:rsidRPr="00517165" w:rsidRDefault="00EF51D5" w:rsidP="00EF51D5">
      <w:pPr>
        <w:spacing w:after="0" w:line="260" w:lineRule="auto"/>
        <w:ind w:right="79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Preskripční omezení, popis, indikační omezení a množstevní limit jednotlivých úhradových skupin je definován v příloze č. 3 zákona č. 48/1997 Sb., o veřejném zdravotním pojištění.</w:t>
      </w:r>
    </w:p>
    <w:p w:rsidR="00EF51D5" w:rsidRPr="00517165" w:rsidRDefault="00EF51D5" w:rsidP="00EF51D5">
      <w:pPr>
        <w:spacing w:after="0" w:line="200" w:lineRule="exact"/>
        <w:ind w:right="79"/>
        <w:jc w:val="both"/>
        <w:rPr>
          <w:rFonts w:cstheme="minorHAnsi"/>
        </w:rPr>
      </w:pPr>
    </w:p>
    <w:p w:rsidR="00EF51D5" w:rsidRPr="00517165" w:rsidRDefault="00EF51D5" w:rsidP="00EF51D5">
      <w:pPr>
        <w:spacing w:after="0" w:line="260" w:lineRule="auto"/>
        <w:ind w:right="79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Obvazový materiál předepisuje na Poukaz smluvní lékař</w:t>
      </w:r>
      <w:r>
        <w:rPr>
          <w:rFonts w:eastAsia="Times New Roman" w:cstheme="minorHAnsi"/>
        </w:rPr>
        <w:t>/předepisující</w:t>
      </w:r>
      <w:r w:rsidRPr="00517165">
        <w:rPr>
          <w:rFonts w:eastAsia="Times New Roman" w:cstheme="minorHAnsi"/>
        </w:rPr>
        <w:t xml:space="preserve"> Pojišťovny dle typu zdravotnického prostředku (viz Číselník SZP ČR – ZP). </w:t>
      </w:r>
    </w:p>
    <w:p w:rsidR="00EF51D5" w:rsidRPr="00517165" w:rsidRDefault="00EF51D5" w:rsidP="00EF51D5">
      <w:pPr>
        <w:spacing w:after="0" w:line="200" w:lineRule="exact"/>
        <w:ind w:right="79"/>
        <w:jc w:val="both"/>
        <w:rPr>
          <w:rFonts w:cstheme="minorHAnsi"/>
        </w:rPr>
      </w:pPr>
    </w:p>
    <w:p w:rsidR="00EF51D5" w:rsidRPr="00517165" w:rsidRDefault="00EF51D5" w:rsidP="00EF51D5">
      <w:pPr>
        <w:spacing w:after="0" w:line="260" w:lineRule="auto"/>
        <w:ind w:right="79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Zvlášť účtovaný materiál (označení M poli PRO) může být vykazován pouze v návaznosti na zdravotní výkon, nepodléhá schválení </w:t>
      </w:r>
      <w:r>
        <w:rPr>
          <w:rFonts w:eastAsia="Times New Roman" w:cstheme="minorHAnsi"/>
        </w:rPr>
        <w:t>zdravotní pojišťovnou</w:t>
      </w:r>
      <w:r w:rsidRPr="00517165">
        <w:rPr>
          <w:rFonts w:eastAsia="Times New Roman" w:cstheme="minorHAnsi"/>
        </w:rPr>
        <w:t xml:space="preserve"> (bez označení „Z“ v poli LIM1).</w:t>
      </w:r>
    </w:p>
    <w:p w:rsidR="00EF51D5" w:rsidRDefault="00EF51D5" w:rsidP="001365C1">
      <w:pPr>
        <w:spacing w:after="0" w:line="200" w:lineRule="exact"/>
        <w:ind w:right="79"/>
        <w:jc w:val="both"/>
        <w:rPr>
          <w:rFonts w:cstheme="minorHAnsi"/>
          <w:b/>
          <w:bCs/>
          <w:u w:val="single"/>
        </w:rPr>
      </w:pPr>
    </w:p>
    <w:p w:rsidR="001365C1" w:rsidRPr="00E56A92" w:rsidRDefault="001365C1" w:rsidP="001365C1">
      <w:pPr>
        <w:spacing w:after="0" w:line="200" w:lineRule="exact"/>
        <w:ind w:right="79"/>
        <w:jc w:val="both"/>
        <w:rPr>
          <w:rFonts w:eastAsia="Times New Roman" w:cstheme="minorHAnsi"/>
          <w:b/>
          <w:bCs/>
          <w:u w:val="single"/>
        </w:rPr>
      </w:pPr>
      <w:r w:rsidRPr="00E56A92">
        <w:rPr>
          <w:rFonts w:cstheme="minorHAnsi"/>
          <w:b/>
          <w:bCs/>
          <w:u w:val="single"/>
        </w:rPr>
        <w:t xml:space="preserve">Prostředky pro vlhké hojení ran </w:t>
      </w:r>
      <w:r w:rsidRPr="00E56A92">
        <w:rPr>
          <w:rFonts w:eastAsia="Times New Roman" w:cstheme="minorHAnsi"/>
          <w:b/>
          <w:bCs/>
          <w:position w:val="-1"/>
          <w:u w:val="single"/>
        </w:rPr>
        <w:t>– Postup při preskripci v období prvních 6 měsíců léčby</w:t>
      </w:r>
    </w:p>
    <w:p w:rsidR="001365C1" w:rsidRPr="00517165" w:rsidRDefault="001365C1" w:rsidP="001365C1">
      <w:pPr>
        <w:spacing w:before="12" w:after="0" w:line="240" w:lineRule="exact"/>
        <w:ind w:right="79"/>
        <w:jc w:val="both"/>
        <w:rPr>
          <w:rFonts w:cstheme="minorHAnsi"/>
        </w:rPr>
      </w:pPr>
    </w:p>
    <w:p w:rsidR="008C2267" w:rsidRPr="002F3EAB" w:rsidRDefault="008C2267" w:rsidP="008C2267">
      <w:pPr>
        <w:spacing w:before="29" w:after="0" w:line="240" w:lineRule="auto"/>
        <w:ind w:right="79"/>
        <w:jc w:val="both"/>
        <w:rPr>
          <w:rFonts w:eastAsia="Times New Roman" w:cstheme="minorHAnsi"/>
          <w:color w:val="00B0F0"/>
        </w:rPr>
      </w:pPr>
      <w:r w:rsidRPr="002F3EAB">
        <w:rPr>
          <w:rFonts w:eastAsia="Times New Roman" w:cstheme="minorHAnsi"/>
          <w:color w:val="00B0F0"/>
        </w:rPr>
        <w:t>Za účelem kontrol</w:t>
      </w:r>
      <w:r w:rsidR="00C74609">
        <w:rPr>
          <w:rFonts w:eastAsia="Times New Roman" w:cstheme="minorHAnsi"/>
          <w:color w:val="00B0F0"/>
        </w:rPr>
        <w:t>y</w:t>
      </w:r>
      <w:r w:rsidRPr="002F3EAB">
        <w:rPr>
          <w:rFonts w:eastAsia="Times New Roman" w:cstheme="minorHAnsi"/>
          <w:color w:val="00B0F0"/>
        </w:rPr>
        <w:t xml:space="preserve"> účelné preskripce prostředků vlhkého hojení ran je nezbytnou podmínkou řádně a přehledně vedená zdravotnická dokumentace se záznamy obsahující podrobné informace o lokalizaci, popis rány (velikosti vč. hloubky a popisu okrajů a spodiny rány) před </w:t>
      </w:r>
      <w:r w:rsidR="00C74609">
        <w:rPr>
          <w:rFonts w:eastAsia="Times New Roman" w:cstheme="minorHAnsi"/>
          <w:color w:val="00B0F0"/>
        </w:rPr>
        <w:t>zahájením</w:t>
      </w:r>
      <w:r w:rsidRPr="002F3EAB">
        <w:rPr>
          <w:rFonts w:eastAsia="Times New Roman" w:cstheme="minorHAnsi"/>
          <w:color w:val="00B0F0"/>
        </w:rPr>
        <w:t xml:space="preserve"> léčby i změnách v průběhu léčby. </w:t>
      </w:r>
      <w:r w:rsidR="002F3EAB" w:rsidRPr="002F3EAB">
        <w:rPr>
          <w:rFonts w:eastAsia="Times New Roman" w:cstheme="minorHAnsi"/>
          <w:color w:val="00B0F0"/>
        </w:rPr>
        <w:t>S</w:t>
      </w:r>
      <w:r w:rsidRPr="002F3EAB">
        <w:rPr>
          <w:rFonts w:eastAsia="Times New Roman" w:cstheme="minorHAnsi"/>
          <w:color w:val="00B0F0"/>
        </w:rPr>
        <w:t>oučástí těchto záznam</w:t>
      </w:r>
      <w:r w:rsidR="002F3EAB" w:rsidRPr="002F3EAB">
        <w:rPr>
          <w:rFonts w:eastAsia="Times New Roman" w:cstheme="minorHAnsi"/>
          <w:color w:val="00B0F0"/>
        </w:rPr>
        <w:t>ů</w:t>
      </w:r>
      <w:r w:rsidRPr="002F3EAB">
        <w:rPr>
          <w:rFonts w:eastAsia="Times New Roman" w:cstheme="minorHAnsi"/>
          <w:color w:val="00B0F0"/>
        </w:rPr>
        <w:t xml:space="preserve"> je fotodokumentace ran pořízená v souladu s </w:t>
      </w:r>
      <w:hyperlink r:id="rId6" w:history="1">
        <w:r w:rsidRPr="002F3EAB">
          <w:rPr>
            <w:rStyle w:val="Hypertextovodkaz"/>
            <w:rFonts w:eastAsia="Times New Roman" w:cstheme="minorHAnsi"/>
            <w:color w:val="00B0F0"/>
          </w:rPr>
          <w:t>Metodickým pokynem, kterým se stanoví pravidla k fotodokumentaci ran</w:t>
        </w:r>
      </w:hyperlink>
      <w:r w:rsidRPr="002F3EAB">
        <w:rPr>
          <w:rFonts w:eastAsia="Times New Roman" w:cstheme="minorHAnsi"/>
          <w:color w:val="00B0F0"/>
        </w:rPr>
        <w:t xml:space="preserve"> uveřejněným ve Věstníku MZ ČR 8/2024. V případě, že pojištěnec nesouhlasí s pořízením fotodokumentace, je nutné tuto skutečnost zaznamenat do zdravotnické dokumentace a od pojištěnce získat jím podepsaný písemný nesouhlas s odůvodněním.</w:t>
      </w:r>
    </w:p>
    <w:p w:rsidR="008C6296" w:rsidRPr="002F3EAB" w:rsidRDefault="008C2267" w:rsidP="008C2267">
      <w:pPr>
        <w:spacing w:before="29" w:after="0" w:line="240" w:lineRule="auto"/>
        <w:ind w:right="79"/>
        <w:jc w:val="both"/>
        <w:rPr>
          <w:rFonts w:eastAsia="Times New Roman" w:cstheme="minorHAnsi"/>
          <w:color w:val="00B0F0"/>
        </w:rPr>
      </w:pPr>
      <w:r w:rsidRPr="002F3EAB">
        <w:rPr>
          <w:rFonts w:eastAsia="Times New Roman" w:cstheme="minorHAnsi"/>
          <w:color w:val="00B0F0"/>
        </w:rPr>
        <w:t xml:space="preserve">Popis rány, průběh hojení a fotodokumentace rány (vyjma dokumentovaného nesouhlasu pojištěnce) musí jednoznačně prokazovat oprávněnost </w:t>
      </w:r>
      <w:r w:rsidR="00E27B64" w:rsidRPr="002F3EAB">
        <w:rPr>
          <w:rFonts w:eastAsia="Times New Roman" w:cstheme="minorHAnsi"/>
          <w:color w:val="00B0F0"/>
        </w:rPr>
        <w:t xml:space="preserve">a medicínskou efektivitu </w:t>
      </w:r>
      <w:r w:rsidRPr="002F3EAB">
        <w:rPr>
          <w:rFonts w:eastAsia="Times New Roman" w:cstheme="minorHAnsi"/>
          <w:color w:val="00B0F0"/>
        </w:rPr>
        <w:t>preskripce. Nedoložení výše uvedené dokumentace</w:t>
      </w:r>
      <w:r w:rsidR="00C74609">
        <w:rPr>
          <w:rFonts w:eastAsia="Times New Roman" w:cstheme="minorHAnsi"/>
          <w:color w:val="00B0F0"/>
        </w:rPr>
        <w:t>, v případě kontroly,</w:t>
      </w:r>
      <w:r w:rsidRPr="002F3EAB">
        <w:rPr>
          <w:rFonts w:eastAsia="Times New Roman" w:cstheme="minorHAnsi"/>
          <w:color w:val="00B0F0"/>
        </w:rPr>
        <w:t xml:space="preserve"> lze považovat za léčbu non lege artis a příslušná zdravotní pojišťovna má právo </w:t>
      </w:r>
      <w:r w:rsidR="00E27B64" w:rsidRPr="002F3EAB">
        <w:rPr>
          <w:rFonts w:eastAsia="Times New Roman" w:cstheme="minorHAnsi"/>
          <w:color w:val="00B0F0"/>
        </w:rPr>
        <w:t>požadovat po poskytovateli zdravotních služeb (kterým byly ZP pro vlhké hojení ra</w:t>
      </w:r>
      <w:r w:rsidR="006B029D">
        <w:rPr>
          <w:rFonts w:eastAsia="Times New Roman" w:cstheme="minorHAnsi"/>
          <w:color w:val="00B0F0"/>
        </w:rPr>
        <w:t>n</w:t>
      </w:r>
      <w:r w:rsidR="00E27B64" w:rsidRPr="002F3EAB">
        <w:rPr>
          <w:rFonts w:eastAsia="Times New Roman" w:cstheme="minorHAnsi"/>
          <w:color w:val="00B0F0"/>
        </w:rPr>
        <w:t xml:space="preserve"> předepsány) </w:t>
      </w:r>
      <w:r w:rsidRPr="002F3EAB">
        <w:rPr>
          <w:rFonts w:eastAsia="Times New Roman" w:cstheme="minorHAnsi"/>
          <w:color w:val="00B0F0"/>
        </w:rPr>
        <w:t>náhradu zaplacené částky za všechny zdravotnické prostředky pro vlhké hojení ran, kterým byly prostředky předepsány.</w:t>
      </w:r>
    </w:p>
    <w:p w:rsidR="008C6296" w:rsidRDefault="008C6296" w:rsidP="001365C1">
      <w:pPr>
        <w:spacing w:before="29" w:after="0" w:line="240" w:lineRule="auto"/>
        <w:ind w:right="79"/>
        <w:jc w:val="both"/>
        <w:rPr>
          <w:rFonts w:eastAsia="Times New Roman" w:cstheme="minorHAnsi"/>
        </w:rPr>
      </w:pPr>
    </w:p>
    <w:p w:rsidR="001365C1" w:rsidRPr="00517165" w:rsidRDefault="001365C1" w:rsidP="001365C1">
      <w:pPr>
        <w:spacing w:before="29" w:after="0" w:line="240" w:lineRule="auto"/>
        <w:ind w:right="7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L</w:t>
      </w:r>
      <w:r w:rsidRPr="00517165">
        <w:rPr>
          <w:rFonts w:eastAsia="Times New Roman" w:cstheme="minorHAnsi"/>
        </w:rPr>
        <w:t>ékař</w:t>
      </w:r>
      <w:r>
        <w:rPr>
          <w:rFonts w:eastAsia="Times New Roman" w:cstheme="minorHAnsi"/>
        </w:rPr>
        <w:t>/předepisující</w:t>
      </w:r>
      <w:r w:rsidRPr="00517165">
        <w:rPr>
          <w:rFonts w:eastAsia="Times New Roman" w:cstheme="minorHAnsi"/>
        </w:rPr>
        <w:t xml:space="preserve"> při zahájení léčby pomocí prostředků pro vlhké hojení ran vyplní </w:t>
      </w:r>
      <w:r w:rsidRPr="00517165">
        <w:rPr>
          <w:rFonts w:eastAsia="Times New Roman" w:cstheme="minorHAnsi"/>
          <w:b/>
          <w:bCs/>
        </w:rPr>
        <w:t xml:space="preserve">současně Žádanku o schválení (povolení), </w:t>
      </w:r>
      <w:r w:rsidRPr="00517165">
        <w:rPr>
          <w:rFonts w:eastAsia="Times New Roman" w:cstheme="minorHAnsi"/>
        </w:rPr>
        <w:t xml:space="preserve">dále jen </w:t>
      </w:r>
      <w:r w:rsidRPr="00517165">
        <w:rPr>
          <w:rFonts w:eastAsia="Times New Roman" w:cstheme="minorHAnsi"/>
          <w:b/>
          <w:bCs/>
          <w:i/>
        </w:rPr>
        <w:t>Žádanka</w:t>
      </w:r>
      <w:r w:rsidRPr="00517165">
        <w:rPr>
          <w:rFonts w:eastAsia="Times New Roman" w:cstheme="minorHAnsi"/>
        </w:rPr>
        <w:t xml:space="preserve">, a </w:t>
      </w:r>
      <w:r w:rsidRPr="00517165">
        <w:rPr>
          <w:rFonts w:eastAsia="Times New Roman" w:cstheme="minorHAnsi"/>
          <w:b/>
          <w:bCs/>
        </w:rPr>
        <w:t xml:space="preserve">Poukaz na léčebnou a ortopedickou pomůcku, </w:t>
      </w:r>
      <w:r w:rsidRPr="00517165">
        <w:rPr>
          <w:rFonts w:eastAsia="Times New Roman" w:cstheme="minorHAnsi"/>
        </w:rPr>
        <w:t xml:space="preserve">dále jen </w:t>
      </w:r>
      <w:r w:rsidRPr="00517165">
        <w:rPr>
          <w:rFonts w:eastAsia="Times New Roman" w:cstheme="minorHAnsi"/>
          <w:b/>
          <w:bCs/>
          <w:i/>
        </w:rPr>
        <w:t>Poukaz</w:t>
      </w:r>
      <w:r w:rsidRPr="00517165">
        <w:rPr>
          <w:rFonts w:eastAsia="Times New Roman" w:cstheme="minorHAnsi"/>
        </w:rPr>
        <w:t>.</w:t>
      </w:r>
    </w:p>
    <w:p w:rsidR="001365C1" w:rsidRPr="00517165" w:rsidRDefault="001365C1" w:rsidP="001365C1">
      <w:pPr>
        <w:spacing w:after="0" w:line="240" w:lineRule="auto"/>
        <w:ind w:right="79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Poznámka: </w:t>
      </w:r>
      <w:r w:rsidRPr="00517165">
        <w:rPr>
          <w:rFonts w:eastAsia="Times New Roman" w:cstheme="minorHAnsi"/>
          <w:i/>
        </w:rPr>
        <w:t>Aktuální verze dokladů je veřejně k dispozici na Internetové stránce:</w:t>
      </w:r>
    </w:p>
    <w:p w:rsidR="001365C1" w:rsidRPr="00517165" w:rsidRDefault="008D75DF" w:rsidP="001365C1">
      <w:pPr>
        <w:spacing w:after="0" w:line="240" w:lineRule="auto"/>
        <w:ind w:right="79"/>
        <w:jc w:val="both"/>
        <w:rPr>
          <w:rFonts w:eastAsia="Times New Roman" w:cstheme="minorHAnsi"/>
        </w:rPr>
      </w:pPr>
      <w:hyperlink r:id="rId7">
        <w:r w:rsidR="001365C1" w:rsidRPr="00517165">
          <w:rPr>
            <w:rFonts w:eastAsia="Times New Roman" w:cstheme="minorHAnsi"/>
            <w:i/>
          </w:rPr>
          <w:t>http://www.vzp.cz/poskytovatele/vyuctovani-zdravotni-pece</w:t>
        </w:r>
      </w:hyperlink>
    </w:p>
    <w:p w:rsidR="001365C1" w:rsidRPr="00517165" w:rsidRDefault="001365C1" w:rsidP="001365C1">
      <w:pPr>
        <w:spacing w:before="16" w:after="0" w:line="260" w:lineRule="exact"/>
        <w:ind w:right="79"/>
        <w:jc w:val="both"/>
        <w:rPr>
          <w:rFonts w:cstheme="minorHAnsi"/>
        </w:rPr>
      </w:pPr>
    </w:p>
    <w:p w:rsidR="001365C1" w:rsidRPr="00517165" w:rsidRDefault="001365C1" w:rsidP="001365C1">
      <w:pPr>
        <w:spacing w:after="0" w:line="240" w:lineRule="auto"/>
        <w:ind w:right="79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U tohoto typu ZP se jedná o odložené schvalování úhrady</w:t>
      </w:r>
      <w:r>
        <w:rPr>
          <w:rFonts w:eastAsia="Times New Roman" w:cstheme="minorHAnsi"/>
          <w:b/>
          <w:bCs/>
          <w:i/>
        </w:rPr>
        <w:t xml:space="preserve"> </w:t>
      </w:r>
      <w:r>
        <w:rPr>
          <w:rFonts w:eastAsia="Times New Roman" w:cstheme="minorHAnsi"/>
        </w:rPr>
        <w:t>zdravotní pojišťovnou</w:t>
      </w:r>
      <w:r w:rsidRPr="00517165">
        <w:rPr>
          <w:rFonts w:eastAsia="Times New Roman" w:cstheme="minorHAnsi"/>
        </w:rPr>
        <w:t>, v souladu se zněním zákona č. 48/1997 Sb., až po uplynutí 6 měsíců od zahájení léčby</w:t>
      </w:r>
      <w:r w:rsidR="00CA41E3">
        <w:rPr>
          <w:rFonts w:eastAsia="Times New Roman" w:cstheme="minorHAnsi"/>
        </w:rPr>
        <w:t xml:space="preserve"> jednoho defektu</w:t>
      </w:r>
      <w:r w:rsidR="00CA41E3" w:rsidRPr="00CA41E3">
        <w:rPr>
          <w:rFonts w:eastAsia="Times New Roman" w:cstheme="minorHAnsi"/>
          <w:color w:val="00B0F0"/>
        </w:rPr>
        <w:t xml:space="preserve"> bez ohledu na poskytovatele</w:t>
      </w:r>
      <w:r w:rsidRPr="00517165">
        <w:rPr>
          <w:rFonts w:eastAsia="Times New Roman" w:cstheme="minorHAnsi"/>
        </w:rPr>
        <w:t>.</w:t>
      </w:r>
    </w:p>
    <w:p w:rsidR="001365C1" w:rsidRPr="00517165" w:rsidRDefault="001365C1" w:rsidP="001365C1">
      <w:pPr>
        <w:spacing w:before="16" w:after="0" w:line="260" w:lineRule="exact"/>
        <w:ind w:right="79"/>
        <w:jc w:val="both"/>
        <w:rPr>
          <w:rFonts w:cstheme="minorHAnsi"/>
        </w:rPr>
      </w:pPr>
    </w:p>
    <w:p w:rsidR="001365C1" w:rsidRPr="00517165" w:rsidRDefault="001365C1" w:rsidP="001365C1">
      <w:pPr>
        <w:spacing w:after="0" w:line="240" w:lineRule="auto"/>
        <w:ind w:right="79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Na Žádance budou dle </w:t>
      </w:r>
      <w:r w:rsidRPr="00517165">
        <w:rPr>
          <w:rFonts w:eastAsia="Times New Roman" w:cstheme="minorHAnsi"/>
          <w:b/>
          <w:bCs/>
        </w:rPr>
        <w:t xml:space="preserve">Metodiky pro pořizování a předávání dokladů </w:t>
      </w:r>
      <w:r w:rsidRPr="00517165">
        <w:rPr>
          <w:rFonts w:eastAsia="Times New Roman" w:cstheme="minorHAnsi"/>
        </w:rPr>
        <w:t xml:space="preserve">v platném znění (viz </w:t>
      </w:r>
      <w:hyperlink r:id="rId8">
        <w:r w:rsidRPr="00517165">
          <w:rPr>
            <w:rFonts w:eastAsia="Times New Roman" w:cstheme="minorHAnsi"/>
            <w:i/>
          </w:rPr>
          <w:t>http://www.vzp.cz/poskytovatele/vyuctovani-zdravotni-pece</w:t>
        </w:r>
        <w:r w:rsidRPr="00517165">
          <w:rPr>
            <w:rFonts w:eastAsia="Times New Roman" w:cstheme="minorHAnsi"/>
          </w:rPr>
          <w:t xml:space="preserve">) </w:t>
        </w:r>
      </w:hyperlink>
      <w:r w:rsidRPr="00517165">
        <w:rPr>
          <w:rFonts w:eastAsia="Times New Roman" w:cstheme="minorHAnsi"/>
        </w:rPr>
        <w:t>vyplněny veškeré údaje identifikující pojištěnce, zdravotnické zařízení a zdravotnický prostředek, který je předepsán.</w:t>
      </w:r>
    </w:p>
    <w:p w:rsidR="001365C1" w:rsidRPr="00517165" w:rsidRDefault="001365C1" w:rsidP="001365C1">
      <w:pPr>
        <w:spacing w:before="5" w:after="0" w:line="240" w:lineRule="auto"/>
        <w:ind w:left="475" w:right="3149"/>
        <w:rPr>
          <w:rFonts w:eastAsia="Times New Roman" w:cstheme="minorHAnsi"/>
        </w:rPr>
      </w:pPr>
      <w:r w:rsidRPr="00517165">
        <w:rPr>
          <w:rFonts w:eastAsia="Times New Roman" w:cstheme="minorHAnsi"/>
          <w:b/>
          <w:bCs/>
        </w:rPr>
        <w:t>a) Při prvním předepsání prostředku pro vlhké hojení</w:t>
      </w:r>
    </w:p>
    <w:p w:rsidR="001365C1" w:rsidRPr="00517165" w:rsidRDefault="001365C1" w:rsidP="001365C1">
      <w:pPr>
        <w:spacing w:after="0" w:line="271" w:lineRule="exact"/>
        <w:ind w:left="864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Na Žádanku se uvede</w:t>
      </w:r>
    </w:p>
    <w:p w:rsidR="001365C1" w:rsidRPr="00517165" w:rsidRDefault="001365C1" w:rsidP="001365C1">
      <w:pPr>
        <w:tabs>
          <w:tab w:val="left" w:pos="1580"/>
        </w:tabs>
        <w:spacing w:before="17" w:after="0" w:line="240" w:lineRule="auto"/>
        <w:ind w:left="1584" w:right="75" w:hanging="360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•</w:t>
      </w:r>
      <w:r w:rsidRPr="00517165">
        <w:rPr>
          <w:rFonts w:eastAsia="Times New Roman" w:cstheme="minorHAnsi"/>
        </w:rPr>
        <w:tab/>
      </w:r>
      <w:r w:rsidRPr="00517165">
        <w:rPr>
          <w:rFonts w:eastAsia="Times New Roman" w:cstheme="minorHAnsi"/>
          <w:b/>
          <w:bCs/>
        </w:rPr>
        <w:t xml:space="preserve">signální kód zdravotnického prostředku 0082747 </w:t>
      </w:r>
      <w:r w:rsidRPr="00517165">
        <w:rPr>
          <w:rFonts w:eastAsia="Times New Roman" w:cstheme="minorHAnsi"/>
        </w:rPr>
        <w:t>(Krytí vlhké – kód pro oznámení začátku léčby) určený pro předání informace o zahájení léčby prostředkem pro vlhké hojení ran.</w:t>
      </w:r>
    </w:p>
    <w:p w:rsidR="001365C1" w:rsidRPr="00517165" w:rsidRDefault="001365C1" w:rsidP="001365C1">
      <w:pPr>
        <w:tabs>
          <w:tab w:val="left" w:pos="1580"/>
        </w:tabs>
        <w:spacing w:before="17" w:after="0" w:line="240" w:lineRule="auto"/>
        <w:ind w:left="1224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•</w:t>
      </w:r>
      <w:r w:rsidRPr="00517165">
        <w:rPr>
          <w:rFonts w:eastAsia="Times New Roman" w:cstheme="minorHAnsi"/>
        </w:rPr>
        <w:tab/>
        <w:t>Počet balení ZP – 999</w:t>
      </w:r>
    </w:p>
    <w:p w:rsidR="001365C1" w:rsidRPr="00517165" w:rsidRDefault="001365C1" w:rsidP="008C2267">
      <w:pPr>
        <w:spacing w:after="0" w:line="240" w:lineRule="auto"/>
        <w:ind w:left="864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V části Žádanky </w:t>
      </w:r>
      <w:r w:rsidRPr="00517165">
        <w:rPr>
          <w:rFonts w:eastAsia="Times New Roman" w:cstheme="minorHAnsi"/>
          <w:b/>
          <w:bCs/>
        </w:rPr>
        <w:t xml:space="preserve">Specifikace požadavku </w:t>
      </w:r>
      <w:r w:rsidRPr="00517165">
        <w:rPr>
          <w:rFonts w:eastAsia="Times New Roman" w:cstheme="minorHAnsi"/>
        </w:rPr>
        <w:t xml:space="preserve">vyplní </w:t>
      </w:r>
      <w:proofErr w:type="spellStart"/>
      <w:r w:rsidRPr="00517165">
        <w:rPr>
          <w:rFonts w:eastAsia="Times New Roman" w:cstheme="minorHAnsi"/>
        </w:rPr>
        <w:t>preskribující</w:t>
      </w:r>
      <w:proofErr w:type="spellEnd"/>
      <w:r w:rsidRPr="00517165">
        <w:rPr>
          <w:rFonts w:eastAsia="Times New Roman" w:cstheme="minorHAnsi"/>
        </w:rPr>
        <w:t xml:space="preserve"> tento text:</w:t>
      </w:r>
    </w:p>
    <w:p w:rsidR="001365C1" w:rsidRPr="00517165" w:rsidRDefault="001365C1" w:rsidP="008C2267">
      <w:pPr>
        <w:tabs>
          <w:tab w:val="left" w:pos="1580"/>
        </w:tabs>
        <w:spacing w:before="17" w:after="0" w:line="240" w:lineRule="auto"/>
        <w:ind w:left="1224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•</w:t>
      </w:r>
      <w:r w:rsidRPr="00517165">
        <w:rPr>
          <w:rFonts w:eastAsia="Times New Roman" w:cstheme="minorHAnsi"/>
        </w:rPr>
        <w:tab/>
        <w:t>„</w:t>
      </w:r>
      <w:r w:rsidRPr="00517165">
        <w:rPr>
          <w:rFonts w:eastAsia="Times New Roman" w:cstheme="minorHAnsi"/>
          <w:b/>
          <w:bCs/>
          <w:i/>
        </w:rPr>
        <w:t>INFORMACE O ZAHÁJENÍ LÉČBY PROSTŘEDKY PRO VLHKÉ HOJENÍ RAN</w:t>
      </w:r>
      <w:r w:rsidRPr="00517165">
        <w:rPr>
          <w:rFonts w:eastAsia="Times New Roman" w:cstheme="minorHAnsi"/>
        </w:rPr>
        <w:t>“ a uvede</w:t>
      </w:r>
    </w:p>
    <w:p w:rsidR="001365C1" w:rsidRDefault="001365C1" w:rsidP="008C2267">
      <w:pPr>
        <w:tabs>
          <w:tab w:val="left" w:pos="1580"/>
        </w:tabs>
        <w:spacing w:before="17" w:after="0" w:line="240" w:lineRule="auto"/>
        <w:ind w:left="864" w:firstLine="360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•</w:t>
      </w:r>
      <w:r w:rsidRPr="00517165">
        <w:rPr>
          <w:rFonts w:eastAsia="Times New Roman" w:cstheme="minorHAnsi"/>
        </w:rPr>
        <w:tab/>
      </w:r>
      <w:r w:rsidRPr="00517165">
        <w:rPr>
          <w:rFonts w:eastAsia="Times New Roman" w:cstheme="minorHAnsi"/>
          <w:b/>
          <w:bCs/>
        </w:rPr>
        <w:t>DATUM zahájení léčby</w:t>
      </w:r>
      <w:r w:rsidRPr="00517165">
        <w:rPr>
          <w:rFonts w:eastAsia="Times New Roman" w:cstheme="minorHAnsi"/>
        </w:rPr>
        <w:t>, které bude shodné s datem vystavení Poukazu.</w:t>
      </w:r>
    </w:p>
    <w:p w:rsidR="001365C1" w:rsidRPr="005961CE" w:rsidRDefault="001365C1" w:rsidP="008C2267">
      <w:pPr>
        <w:tabs>
          <w:tab w:val="left" w:pos="1580"/>
        </w:tabs>
        <w:spacing w:before="17" w:after="0" w:line="240" w:lineRule="auto"/>
        <w:ind w:left="851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V části </w:t>
      </w:r>
      <w:bookmarkStart w:id="1" w:name="_Hlk187991344"/>
      <w:r w:rsidRPr="00517165">
        <w:rPr>
          <w:rFonts w:eastAsia="Times New Roman" w:cstheme="minorHAnsi"/>
        </w:rPr>
        <w:t xml:space="preserve">Žádanky </w:t>
      </w:r>
      <w:r w:rsidRPr="00517165">
        <w:rPr>
          <w:rFonts w:eastAsia="Times New Roman" w:cstheme="minorHAnsi"/>
          <w:b/>
          <w:bCs/>
        </w:rPr>
        <w:t xml:space="preserve">Zdůvodnění </w:t>
      </w:r>
      <w:r w:rsidRPr="00517165">
        <w:rPr>
          <w:rFonts w:eastAsia="Times New Roman" w:cstheme="minorHAnsi"/>
        </w:rPr>
        <w:t>uvede</w:t>
      </w:r>
      <w:r>
        <w:rPr>
          <w:rFonts w:eastAsia="Times New Roman" w:cstheme="minorHAnsi"/>
        </w:rPr>
        <w:t xml:space="preserve"> </w:t>
      </w:r>
      <w:r w:rsidRPr="002F3EAB">
        <w:rPr>
          <w:rFonts w:eastAsia="Times New Roman" w:cstheme="minorHAnsi"/>
          <w:b/>
          <w:bCs/>
          <w:color w:val="00B0F0"/>
        </w:rPr>
        <w:t>lokalizaci, velikost včetně hloubky</w:t>
      </w:r>
      <w:r w:rsidR="00813012" w:rsidRPr="002F3EAB">
        <w:rPr>
          <w:rFonts w:eastAsia="Times New Roman" w:cstheme="minorHAnsi"/>
          <w:b/>
          <w:bCs/>
          <w:color w:val="00B0F0"/>
        </w:rPr>
        <w:t>, popis okrajů a spodiny rány</w:t>
      </w:r>
      <w:r w:rsidRPr="002F3EAB">
        <w:rPr>
          <w:rFonts w:eastAsia="Times New Roman" w:cstheme="minorHAnsi"/>
          <w:color w:val="00B0F0"/>
        </w:rPr>
        <w:t>, pro kter</w:t>
      </w:r>
      <w:r w:rsidR="00813012" w:rsidRPr="002F3EAB">
        <w:rPr>
          <w:rFonts w:eastAsia="Times New Roman" w:cstheme="minorHAnsi"/>
          <w:color w:val="00B0F0"/>
        </w:rPr>
        <w:t>ou</w:t>
      </w:r>
      <w:r w:rsidRPr="002F3EAB">
        <w:rPr>
          <w:rFonts w:eastAsia="Times New Roman" w:cstheme="minorHAnsi"/>
          <w:color w:val="00B0F0"/>
        </w:rPr>
        <w:t xml:space="preserve"> vlhké krytí indikuje a předepisuje</w:t>
      </w:r>
      <w:r w:rsidR="004B4D8A" w:rsidRPr="002F3EAB">
        <w:rPr>
          <w:rFonts w:eastAsia="Times New Roman" w:cstheme="minorHAnsi"/>
          <w:color w:val="00B0F0"/>
        </w:rPr>
        <w:t>.</w:t>
      </w:r>
      <w:r w:rsidR="00FF4405">
        <w:rPr>
          <w:rFonts w:eastAsia="Times New Roman" w:cstheme="minorHAnsi"/>
          <w:color w:val="00B0F0"/>
        </w:rPr>
        <w:t xml:space="preserve"> Součástí Žádanky může být i fotodokumentace.</w:t>
      </w:r>
    </w:p>
    <w:bookmarkEnd w:id="1"/>
    <w:p w:rsidR="001365C1" w:rsidRPr="00517165" w:rsidRDefault="001365C1" w:rsidP="001365C1">
      <w:pPr>
        <w:spacing w:before="16" w:after="0" w:line="260" w:lineRule="exact"/>
        <w:rPr>
          <w:rFonts w:cstheme="minorHAnsi"/>
        </w:rPr>
      </w:pPr>
    </w:p>
    <w:p w:rsidR="001365C1" w:rsidRPr="00517165" w:rsidRDefault="001365C1" w:rsidP="001365C1">
      <w:pPr>
        <w:spacing w:after="0" w:line="240" w:lineRule="auto"/>
        <w:ind w:left="864" w:right="-20"/>
        <w:rPr>
          <w:rFonts w:eastAsia="Times New Roman" w:cstheme="minorHAnsi"/>
        </w:rPr>
      </w:pPr>
      <w:r w:rsidRPr="00517165">
        <w:rPr>
          <w:rFonts w:eastAsia="Times New Roman" w:cstheme="minorHAnsi"/>
          <w:b/>
          <w:bCs/>
        </w:rPr>
        <w:t xml:space="preserve">Současně </w:t>
      </w:r>
      <w:r w:rsidRPr="00517165">
        <w:rPr>
          <w:rFonts w:eastAsia="Times New Roman" w:cstheme="minorHAnsi"/>
        </w:rPr>
        <w:t>ošetřující lékař vyplní Poukaz, na kterém uvede</w:t>
      </w:r>
    </w:p>
    <w:p w:rsidR="001365C1" w:rsidRPr="00517165" w:rsidRDefault="001365C1" w:rsidP="001365C1">
      <w:pPr>
        <w:tabs>
          <w:tab w:val="left" w:pos="1580"/>
        </w:tabs>
        <w:spacing w:before="17" w:after="0" w:line="240" w:lineRule="auto"/>
        <w:ind w:left="1584" w:right="865" w:hanging="36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•</w:t>
      </w:r>
      <w:r w:rsidRPr="00517165">
        <w:rPr>
          <w:rFonts w:eastAsia="Times New Roman" w:cstheme="minorHAnsi"/>
        </w:rPr>
        <w:tab/>
      </w:r>
      <w:r w:rsidRPr="00517165">
        <w:rPr>
          <w:rFonts w:eastAsia="Times New Roman" w:cstheme="minorHAnsi"/>
          <w:b/>
          <w:bCs/>
        </w:rPr>
        <w:t xml:space="preserve">kód konkrétního indikovaného ZP </w:t>
      </w:r>
      <w:r w:rsidRPr="00517165">
        <w:rPr>
          <w:rFonts w:eastAsia="Times New Roman" w:cstheme="minorHAnsi"/>
        </w:rPr>
        <w:t>z Číselníku SZP ČR – ZP (</w:t>
      </w:r>
      <w:r>
        <w:rPr>
          <w:rFonts w:eastAsia="Times New Roman" w:cstheme="minorHAnsi"/>
        </w:rPr>
        <w:t xml:space="preserve">viz </w:t>
      </w:r>
      <w:hyperlink r:id="rId9" w:history="1">
        <w:r>
          <w:rPr>
            <w:rStyle w:val="Hypertextovodkaz"/>
          </w:rPr>
          <w:t>https://www.szpcr.cz/zdravotnicke_prostredky.php</w:t>
        </w:r>
      </w:hyperlink>
      <w:r w:rsidRPr="00517165">
        <w:rPr>
          <w:rFonts w:eastAsia="Times New Roman" w:cstheme="minorHAnsi"/>
        </w:rPr>
        <w:t>),</w:t>
      </w:r>
    </w:p>
    <w:p w:rsidR="001365C1" w:rsidRDefault="001365C1" w:rsidP="001365C1">
      <w:pPr>
        <w:tabs>
          <w:tab w:val="left" w:pos="1580"/>
        </w:tabs>
        <w:spacing w:before="17" w:after="0" w:line="240" w:lineRule="auto"/>
        <w:ind w:left="1224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•</w:t>
      </w:r>
      <w:r w:rsidRPr="00517165">
        <w:rPr>
          <w:rFonts w:eastAsia="Times New Roman" w:cstheme="minorHAnsi"/>
        </w:rPr>
        <w:tab/>
      </w:r>
      <w:r w:rsidRPr="00517165">
        <w:rPr>
          <w:rFonts w:eastAsia="Times New Roman" w:cstheme="minorHAnsi"/>
          <w:b/>
          <w:bCs/>
        </w:rPr>
        <w:t xml:space="preserve">požadované množství </w:t>
      </w:r>
      <w:r>
        <w:rPr>
          <w:rFonts w:eastAsia="Times New Roman" w:cstheme="minorHAnsi"/>
        </w:rPr>
        <w:t>ZP</w:t>
      </w:r>
    </w:p>
    <w:p w:rsidR="001365C1" w:rsidRPr="00B90AB0" w:rsidRDefault="001365C1" w:rsidP="001365C1">
      <w:pPr>
        <w:pStyle w:val="Odstavecseseznamem"/>
        <w:numPr>
          <w:ilvl w:val="0"/>
          <w:numId w:val="1"/>
        </w:numPr>
        <w:tabs>
          <w:tab w:val="left" w:pos="1580"/>
        </w:tabs>
        <w:spacing w:before="33" w:after="0" w:line="240" w:lineRule="auto"/>
        <w:ind w:right="75"/>
        <w:jc w:val="both"/>
        <w:rPr>
          <w:rFonts w:eastAsia="Times New Roman" w:cstheme="minorHAnsi"/>
          <w:color w:val="00B0F0"/>
        </w:rPr>
      </w:pPr>
      <w:r w:rsidRPr="00B90AB0">
        <w:rPr>
          <w:rFonts w:eastAsia="Times New Roman" w:cstheme="minorHAnsi"/>
          <w:color w:val="00B0F0"/>
        </w:rPr>
        <w:t>do kolonky „Místo pro záznamy zdravotní pojišťovny“ text: zahájení léčby vlhkým krytím dne …………</w:t>
      </w:r>
      <w:proofErr w:type="gramStart"/>
      <w:r w:rsidRPr="00B90AB0">
        <w:rPr>
          <w:rFonts w:eastAsia="Times New Roman" w:cstheme="minorHAnsi"/>
          <w:color w:val="00B0F0"/>
        </w:rPr>
        <w:t>… .</w:t>
      </w:r>
      <w:proofErr w:type="gramEnd"/>
      <w:r w:rsidRPr="00B90AB0">
        <w:rPr>
          <w:rFonts w:eastAsia="Times New Roman" w:cstheme="minorHAnsi"/>
          <w:color w:val="00B0F0"/>
        </w:rPr>
        <w:t xml:space="preserve">(ve formátu </w:t>
      </w:r>
      <w:proofErr w:type="spellStart"/>
      <w:r w:rsidRPr="00B90AB0">
        <w:rPr>
          <w:rFonts w:eastAsia="Times New Roman" w:cstheme="minorHAnsi"/>
          <w:color w:val="00B0F0"/>
        </w:rPr>
        <w:t>dd.mm.rrrr</w:t>
      </w:r>
      <w:proofErr w:type="spellEnd"/>
      <w:r w:rsidRPr="00B90AB0">
        <w:rPr>
          <w:rFonts w:eastAsia="Times New Roman" w:cstheme="minorHAnsi"/>
          <w:color w:val="00B0F0"/>
        </w:rPr>
        <w:t>*)</w:t>
      </w:r>
    </w:p>
    <w:p w:rsidR="001365C1" w:rsidRPr="00517165" w:rsidRDefault="001365C1" w:rsidP="001365C1">
      <w:pPr>
        <w:tabs>
          <w:tab w:val="left" w:pos="1580"/>
        </w:tabs>
        <w:spacing w:before="33" w:after="0" w:line="240" w:lineRule="auto"/>
        <w:ind w:left="1224" w:right="75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Vyplněný Poukaz předá rovnou pojištěnci k vyzvednutí vlhkého krytí bez dalšího odkladu. Žádanku, kterou lékař</w:t>
      </w:r>
      <w:r>
        <w:rPr>
          <w:rFonts w:eastAsia="Times New Roman" w:cstheme="minorHAnsi"/>
        </w:rPr>
        <w:t>/předepisující</w:t>
      </w:r>
      <w:r w:rsidRPr="00517165">
        <w:rPr>
          <w:rFonts w:eastAsia="Times New Roman" w:cstheme="minorHAnsi"/>
        </w:rPr>
        <w:t xml:space="preserve"> zaslal na příslušnou zdravotní pojišťovnu, následně obdrží zpět po jejím zpracování na zdravotní pojišťovně. </w:t>
      </w:r>
      <w:r w:rsidRPr="00B90AB0">
        <w:rPr>
          <w:rFonts w:eastAsia="Times New Roman" w:cstheme="minorHAnsi"/>
          <w:color w:val="00B0F0"/>
        </w:rPr>
        <w:t>Zdravotní pojišťovna převzetí žádanky zaznamená do svého informačního systému, datum vystavení Poukazu/Žádanky považuje za datum zahájení léčby vlhkým krytím.</w:t>
      </w:r>
    </w:p>
    <w:p w:rsidR="001365C1" w:rsidRPr="00517165" w:rsidRDefault="001365C1" w:rsidP="001365C1">
      <w:pPr>
        <w:spacing w:before="1" w:after="0" w:line="280" w:lineRule="exact"/>
        <w:rPr>
          <w:rFonts w:cstheme="minorHAnsi"/>
        </w:rPr>
      </w:pPr>
    </w:p>
    <w:p w:rsidR="001365C1" w:rsidRPr="00517165" w:rsidRDefault="001365C1" w:rsidP="001365C1">
      <w:pPr>
        <w:spacing w:after="0" w:line="240" w:lineRule="auto"/>
        <w:ind w:left="876" w:right="75" w:hanging="360"/>
        <w:rPr>
          <w:rFonts w:eastAsia="Times New Roman" w:cstheme="minorHAnsi"/>
        </w:rPr>
      </w:pPr>
      <w:r w:rsidRPr="00517165">
        <w:rPr>
          <w:rFonts w:eastAsia="Times New Roman" w:cstheme="minorHAnsi"/>
          <w:b/>
          <w:bCs/>
        </w:rPr>
        <w:t>b) Při dalším předepsání v období prvních 6 měsíců již lékař</w:t>
      </w:r>
      <w:r>
        <w:rPr>
          <w:rFonts w:eastAsia="Times New Roman" w:cstheme="minorHAnsi"/>
          <w:b/>
          <w:bCs/>
        </w:rPr>
        <w:t>/předepisující</w:t>
      </w:r>
      <w:r w:rsidRPr="00517165">
        <w:rPr>
          <w:rFonts w:eastAsia="Times New Roman" w:cstheme="minorHAnsi"/>
          <w:b/>
          <w:bCs/>
        </w:rPr>
        <w:t xml:space="preserve"> další Žádanku nevystavuje!</w:t>
      </w:r>
    </w:p>
    <w:p w:rsidR="001365C1" w:rsidRPr="002F3EAB" w:rsidRDefault="002F3EAB" w:rsidP="002F3EAB">
      <w:pPr>
        <w:spacing w:after="0" w:line="271" w:lineRule="exact"/>
        <w:ind w:left="851" w:right="-20"/>
        <w:rPr>
          <w:rFonts w:eastAsia="Times New Roman" w:cstheme="minorHAnsi"/>
        </w:rPr>
      </w:pPr>
      <w:r w:rsidRPr="002F3EAB">
        <w:rPr>
          <w:rFonts w:eastAsia="Times New Roman" w:cstheme="minorHAnsi"/>
        </w:rPr>
        <w:t>Lékař/předepisující vystavuje pouze Poukaz na konkrétní ZP v požadovaném množství</w:t>
      </w:r>
      <w:r>
        <w:rPr>
          <w:rFonts w:eastAsia="Times New Roman" w:cstheme="minorHAnsi"/>
        </w:rPr>
        <w:t xml:space="preserve"> </w:t>
      </w:r>
      <w:r w:rsidRPr="00EF51D5">
        <w:rPr>
          <w:rFonts w:eastAsia="Times New Roman" w:cstheme="minorHAnsi"/>
          <w:color w:val="00B0F0"/>
        </w:rPr>
        <w:t xml:space="preserve">a </w:t>
      </w:r>
      <w:r w:rsidR="001365C1" w:rsidRPr="00EF51D5">
        <w:rPr>
          <w:rFonts w:eastAsia="Times New Roman" w:cstheme="minorHAnsi"/>
          <w:color w:val="00B0F0"/>
        </w:rPr>
        <w:t>do kolonky „</w:t>
      </w:r>
      <w:r w:rsidR="001365C1" w:rsidRPr="00EF51D5">
        <w:rPr>
          <w:rFonts w:eastAsia="Times New Roman" w:cstheme="minorHAnsi"/>
          <w:i/>
          <w:color w:val="00B0F0"/>
        </w:rPr>
        <w:t xml:space="preserve">Místo pro záznamy zdravotní pojišťovny“ </w:t>
      </w:r>
      <w:r w:rsidR="001365C1" w:rsidRPr="00EF51D5">
        <w:rPr>
          <w:rFonts w:eastAsia="Times New Roman" w:cstheme="minorHAnsi"/>
          <w:color w:val="00B0F0"/>
        </w:rPr>
        <w:t xml:space="preserve">uvede text: „Zahájení léčby vlhkým krytím </w:t>
      </w:r>
      <w:r w:rsidR="001365C1" w:rsidRPr="002F3EAB">
        <w:rPr>
          <w:rFonts w:eastAsia="Times New Roman" w:cstheme="minorHAnsi"/>
          <w:b/>
          <w:bCs/>
        </w:rPr>
        <w:t xml:space="preserve">oznámeno zdravotní pojišťovně, platnost do </w:t>
      </w:r>
      <w:proofErr w:type="spellStart"/>
      <w:proofErr w:type="gramStart"/>
      <w:r w:rsidR="001365C1" w:rsidRPr="002F3EAB">
        <w:rPr>
          <w:rFonts w:eastAsia="Times New Roman" w:cstheme="minorHAnsi"/>
          <w:b/>
          <w:bCs/>
          <w:i/>
        </w:rPr>
        <w:t>dd</w:t>
      </w:r>
      <w:r w:rsidR="001365C1" w:rsidRPr="002F3EAB">
        <w:rPr>
          <w:rFonts w:eastAsia="Times New Roman" w:cstheme="minorHAnsi"/>
          <w:b/>
          <w:bCs/>
        </w:rPr>
        <w:t>.</w:t>
      </w:r>
      <w:r w:rsidR="001365C1" w:rsidRPr="002F3EAB">
        <w:rPr>
          <w:rFonts w:eastAsia="Times New Roman" w:cstheme="minorHAnsi"/>
          <w:b/>
          <w:bCs/>
          <w:i/>
        </w:rPr>
        <w:t>mm</w:t>
      </w:r>
      <w:r w:rsidR="001365C1" w:rsidRPr="002F3EAB">
        <w:rPr>
          <w:rFonts w:eastAsia="Times New Roman" w:cstheme="minorHAnsi"/>
          <w:b/>
          <w:bCs/>
        </w:rPr>
        <w:t>.</w:t>
      </w:r>
      <w:r w:rsidR="001365C1" w:rsidRPr="002F3EAB">
        <w:rPr>
          <w:rFonts w:eastAsia="Times New Roman" w:cstheme="minorHAnsi"/>
          <w:b/>
          <w:bCs/>
          <w:i/>
        </w:rPr>
        <w:t>rrrr</w:t>
      </w:r>
      <w:proofErr w:type="spellEnd"/>
      <w:proofErr w:type="gramEnd"/>
      <w:r w:rsidR="001365C1" w:rsidRPr="002F3EAB">
        <w:rPr>
          <w:rFonts w:eastAsia="Times New Roman" w:cstheme="minorHAnsi"/>
          <w:b/>
          <w:bCs/>
          <w:i/>
        </w:rPr>
        <w:t xml:space="preserve"> **</w:t>
      </w:r>
    </w:p>
    <w:p w:rsidR="001365C1" w:rsidRDefault="001365C1" w:rsidP="001365C1">
      <w:pPr>
        <w:spacing w:after="0" w:line="271" w:lineRule="exact"/>
        <w:ind w:left="876" w:right="-20"/>
        <w:rPr>
          <w:rFonts w:eastAsia="Times New Roman" w:cstheme="minorHAnsi"/>
        </w:rPr>
      </w:pPr>
    </w:p>
    <w:p w:rsidR="001365C1" w:rsidRPr="00517165" w:rsidRDefault="001365C1" w:rsidP="001365C1">
      <w:pPr>
        <w:spacing w:after="0" w:line="240" w:lineRule="auto"/>
        <w:ind w:right="74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  <w:b/>
          <w:bCs/>
        </w:rPr>
        <w:t>V případě, že v období prvních 6 měsíců je následně zahájena léčba vlhkým krytím jiného defektu, než pro který byla příslušné zdravotní pojišťovně předána informace o zahájení léčby, postupuje lékař</w:t>
      </w:r>
      <w:r>
        <w:rPr>
          <w:rFonts w:eastAsia="Times New Roman" w:cstheme="minorHAnsi"/>
          <w:b/>
          <w:bCs/>
        </w:rPr>
        <w:t>/předepisující</w:t>
      </w:r>
      <w:r w:rsidRPr="00517165">
        <w:rPr>
          <w:rFonts w:eastAsia="Times New Roman" w:cstheme="minorHAnsi"/>
          <w:b/>
          <w:bCs/>
        </w:rPr>
        <w:t xml:space="preserve"> opět podle bodu </w:t>
      </w:r>
      <w:r w:rsidRPr="00517165">
        <w:rPr>
          <w:rFonts w:eastAsia="Times New Roman" w:cstheme="minorHAnsi"/>
          <w:b/>
          <w:bCs/>
          <w:i/>
        </w:rPr>
        <w:t>a)</w:t>
      </w:r>
      <w:r w:rsidRPr="00517165">
        <w:rPr>
          <w:rFonts w:eastAsia="Times New Roman" w:cstheme="minorHAnsi"/>
          <w:b/>
          <w:bCs/>
        </w:rPr>
        <w:t>, tzn. vystaví novou Žádanku, …</w:t>
      </w:r>
    </w:p>
    <w:p w:rsidR="001365C1" w:rsidRPr="00517165" w:rsidRDefault="001365C1" w:rsidP="001365C1">
      <w:pPr>
        <w:spacing w:before="11" w:after="0" w:line="260" w:lineRule="exact"/>
        <w:rPr>
          <w:rFonts w:cstheme="minorHAnsi"/>
        </w:rPr>
      </w:pPr>
    </w:p>
    <w:p w:rsidR="001365C1" w:rsidRPr="00517165" w:rsidRDefault="001365C1" w:rsidP="001365C1">
      <w:pPr>
        <w:spacing w:after="0" w:line="240" w:lineRule="auto"/>
        <w:ind w:right="75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>Pokud pojištěnec v průběhu prvních 6 měsíců léčení přejde k jinému ošetřujícímu lékaři</w:t>
      </w:r>
      <w:r>
        <w:rPr>
          <w:rFonts w:eastAsia="Times New Roman" w:cstheme="minorHAnsi"/>
        </w:rPr>
        <w:t>/předepisujícímu</w:t>
      </w:r>
      <w:r w:rsidRPr="00517165">
        <w:rPr>
          <w:rFonts w:eastAsia="Times New Roman" w:cstheme="minorHAnsi"/>
        </w:rPr>
        <w:t>, který pokračuje léčbou vlhkým krytím, obě doby léčení se sčítají.</w:t>
      </w:r>
      <w:r>
        <w:rPr>
          <w:rFonts w:eastAsia="Times New Roman" w:cstheme="minorHAnsi"/>
        </w:rPr>
        <w:t xml:space="preserve"> </w:t>
      </w:r>
      <w:r w:rsidRPr="005867C5">
        <w:rPr>
          <w:rFonts w:eastAsia="Times New Roman" w:cstheme="minorHAnsi"/>
        </w:rPr>
        <w:t>Nový ošetřující lékař/předepisující (jiné IČP) v takovém případě vystavuje novou žádanku.</w:t>
      </w:r>
    </w:p>
    <w:p w:rsidR="001365C1" w:rsidRPr="00517165" w:rsidRDefault="001365C1" w:rsidP="001365C1">
      <w:pPr>
        <w:spacing w:after="0" w:line="240" w:lineRule="auto"/>
        <w:ind w:right="78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Např.: 1. OL - 1 měsíc, 2. OL - 5 měsíců, tj. po uplynutí celkové doby 6 měsíců léčení oběma lékaři se postupuje standardním způsobem dle bodu </w:t>
      </w:r>
      <w:r>
        <w:rPr>
          <w:rFonts w:eastAsia="Times New Roman" w:cstheme="minorHAnsi"/>
        </w:rPr>
        <w:t>„</w:t>
      </w:r>
      <w:r w:rsidRPr="000730E4">
        <w:rPr>
          <w:rFonts w:eastAsia="Times New Roman" w:cstheme="minorHAnsi"/>
        </w:rPr>
        <w:t>Postup při preskripci pro období po uplynutí prvních 6 měsíců léčby</w:t>
      </w:r>
      <w:r>
        <w:rPr>
          <w:rFonts w:eastAsia="Times New Roman" w:cstheme="minorHAnsi"/>
        </w:rPr>
        <w:t>“</w:t>
      </w:r>
      <w:r w:rsidRPr="00517165">
        <w:rPr>
          <w:rFonts w:eastAsia="Times New Roman" w:cstheme="minorHAnsi"/>
        </w:rPr>
        <w:t>).</w:t>
      </w:r>
    </w:p>
    <w:p w:rsidR="001365C1" w:rsidRPr="00517165" w:rsidRDefault="001365C1" w:rsidP="001365C1">
      <w:pPr>
        <w:spacing w:before="16" w:after="0" w:line="260" w:lineRule="exact"/>
        <w:rPr>
          <w:rFonts w:cstheme="minorHAnsi"/>
        </w:rPr>
      </w:pPr>
    </w:p>
    <w:p w:rsidR="001365C1" w:rsidRPr="00517165" w:rsidRDefault="001365C1" w:rsidP="001365C1">
      <w:pPr>
        <w:spacing w:after="0" w:line="240" w:lineRule="auto"/>
        <w:ind w:left="439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* pro přehlednost se datum vystavuje následovně – například: datum předepsání 11. 4.</w:t>
      </w:r>
    </w:p>
    <w:p w:rsidR="001365C1" w:rsidRPr="00517165" w:rsidRDefault="001365C1" w:rsidP="001365C1">
      <w:pPr>
        <w:spacing w:after="0" w:line="240" w:lineRule="auto"/>
        <w:ind w:left="722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2019, platnost Žádanky do 11. 10. 2019</w:t>
      </w:r>
    </w:p>
    <w:p w:rsidR="001365C1" w:rsidRPr="00517165" w:rsidRDefault="001365C1" w:rsidP="001365C1">
      <w:pPr>
        <w:spacing w:after="0" w:line="240" w:lineRule="auto"/>
        <w:ind w:left="722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>Přerušení léčby pomocí prostředků pro vlhké hojení ran nemá vliv na dobu</w:t>
      </w:r>
    </w:p>
    <w:p w:rsidR="001365C1" w:rsidRPr="00517165" w:rsidRDefault="001365C1" w:rsidP="001365C1">
      <w:pPr>
        <w:spacing w:after="0" w:line="240" w:lineRule="auto"/>
        <w:ind w:left="722" w:right="-20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(neprodlužuje ji), do kdy je oznámeno zdravotní pojišťovně (viz datum do: </w:t>
      </w:r>
      <w:proofErr w:type="spellStart"/>
      <w:proofErr w:type="gramStart"/>
      <w:r w:rsidRPr="00517165">
        <w:rPr>
          <w:rFonts w:eastAsia="Times New Roman" w:cstheme="minorHAnsi"/>
        </w:rPr>
        <w:t>dd.mm.rrrr</w:t>
      </w:r>
      <w:proofErr w:type="spellEnd"/>
      <w:proofErr w:type="gramEnd"/>
      <w:r w:rsidRPr="00517165">
        <w:rPr>
          <w:rFonts w:eastAsia="Times New Roman" w:cstheme="minorHAnsi"/>
        </w:rPr>
        <w:t>).</w:t>
      </w:r>
    </w:p>
    <w:p w:rsidR="001365C1" w:rsidRPr="00517165" w:rsidRDefault="001365C1" w:rsidP="001365C1">
      <w:pPr>
        <w:spacing w:after="0" w:line="240" w:lineRule="auto"/>
        <w:ind w:left="722" w:right="75" w:hanging="283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** oznámení zdravotní pojišťovně v souladu s Metodikou pro pořizování a předávání dokladů, kdy se v části Místo pro záznamy zdravotní pojišťovny souhlas </w:t>
      </w:r>
      <w:r>
        <w:rPr>
          <w:rFonts w:eastAsia="Times New Roman" w:cstheme="minorHAnsi"/>
        </w:rPr>
        <w:t>zdravotní pojišťovny</w:t>
      </w:r>
      <w:r w:rsidRPr="00517165">
        <w:rPr>
          <w:rFonts w:eastAsia="Times New Roman" w:cstheme="minorHAnsi"/>
        </w:rPr>
        <w:t xml:space="preserve"> potvrdí na dokladu otiskem razítka lékaře</w:t>
      </w:r>
      <w:r>
        <w:rPr>
          <w:rFonts w:eastAsia="Times New Roman" w:cstheme="minorHAnsi"/>
        </w:rPr>
        <w:t>/předepisujícího</w:t>
      </w:r>
      <w:r w:rsidRPr="00517165">
        <w:rPr>
          <w:rFonts w:eastAsia="Times New Roman" w:cstheme="minorHAnsi"/>
        </w:rPr>
        <w:t xml:space="preserve"> a jeho podpisem. Datum oznámení je nutné vyplnit vzhledem k úhradě z prostředků veřejného zdravotního pojištění (v.z.p.) – pokud si klient vyzvedne ZP v pozdější době, tj. i po datu platnosti oznámení (což může nastat vzhledem k platnosti Poukazu 3</w:t>
      </w:r>
      <w:r>
        <w:rPr>
          <w:rFonts w:eastAsia="Times New Roman" w:cstheme="minorHAnsi"/>
        </w:rPr>
        <w:t>0 dní</w:t>
      </w:r>
      <w:r w:rsidRPr="00517165">
        <w:rPr>
          <w:rFonts w:eastAsia="Times New Roman" w:cstheme="minorHAnsi"/>
        </w:rPr>
        <w:t>, neuvede-li lékař jinak), pak tyto zdravotnické prostředky již nejsou hrazeny z v.z.p. Uvedené je v souladu s medicínským hlediskem – okamžitou potřebou vlhkého krytí k ošetření rány.</w:t>
      </w:r>
    </w:p>
    <w:p w:rsidR="001365C1" w:rsidRPr="00517165" w:rsidRDefault="001365C1" w:rsidP="001365C1">
      <w:pPr>
        <w:spacing w:before="1" w:after="0" w:line="280" w:lineRule="exact"/>
        <w:rPr>
          <w:rFonts w:cstheme="minorHAnsi"/>
        </w:rPr>
      </w:pPr>
    </w:p>
    <w:p w:rsidR="001365C1" w:rsidRPr="00517165" w:rsidRDefault="001365C1" w:rsidP="001365C1">
      <w:pPr>
        <w:spacing w:before="7" w:after="0" w:line="240" w:lineRule="exact"/>
        <w:rPr>
          <w:rFonts w:cstheme="minorHAnsi"/>
          <w:b/>
          <w:bCs/>
          <w:u w:val="single"/>
        </w:rPr>
      </w:pPr>
      <w:bookmarkStart w:id="2" w:name="_Hlk50670183"/>
      <w:r w:rsidRPr="00517165">
        <w:rPr>
          <w:rFonts w:cstheme="minorHAnsi"/>
          <w:b/>
          <w:bCs/>
          <w:u w:val="single"/>
        </w:rPr>
        <w:t>Postup při preskripci pro období po uplynutí prvních 6 měsíců léčby</w:t>
      </w:r>
      <w:bookmarkEnd w:id="2"/>
    </w:p>
    <w:p w:rsidR="001365C1" w:rsidRPr="00517165" w:rsidRDefault="001365C1" w:rsidP="001365C1">
      <w:pPr>
        <w:spacing w:before="7" w:after="0" w:line="240" w:lineRule="exact"/>
        <w:rPr>
          <w:rFonts w:cstheme="minorHAnsi"/>
          <w:b/>
          <w:bCs/>
          <w:u w:val="single"/>
        </w:rPr>
      </w:pPr>
    </w:p>
    <w:p w:rsidR="001365C1" w:rsidRPr="00517165" w:rsidRDefault="001365C1" w:rsidP="001365C1">
      <w:pPr>
        <w:spacing w:before="29" w:after="0" w:line="240" w:lineRule="auto"/>
        <w:ind w:left="516" w:right="75"/>
        <w:jc w:val="both"/>
        <w:rPr>
          <w:rFonts w:eastAsia="Times New Roman" w:cstheme="minorHAnsi"/>
        </w:rPr>
      </w:pPr>
      <w:r w:rsidRPr="00517165">
        <w:rPr>
          <w:rFonts w:eastAsia="Times New Roman" w:cstheme="minorHAnsi"/>
        </w:rPr>
        <w:t xml:space="preserve">Po uplynutí období 6 měsíců od vystavení první Žádanky informující příslušnou zdravotní pojišťovnu o zahájení léčby (tzn. defektu v konkrétní lokalitě) se v případě potřeby pokračující/další léčby pomocí prostředků pro vlhké krytí postupuje standardně jako u každého prostředku, jehož úhrada vyžaduje předchozí souhlas </w:t>
      </w:r>
      <w:r>
        <w:rPr>
          <w:rFonts w:eastAsia="Times New Roman" w:cstheme="minorHAnsi"/>
        </w:rPr>
        <w:t>zdravotní pojišťovny</w:t>
      </w:r>
      <w:r w:rsidRPr="00517165">
        <w:rPr>
          <w:rFonts w:eastAsia="Times New Roman" w:cstheme="minorHAnsi"/>
        </w:rPr>
        <w:t xml:space="preserve"> (v Číselníku SZP ČR – ZP označeno symbolem Z v poli LIM1).</w:t>
      </w:r>
    </w:p>
    <w:p w:rsidR="00393570" w:rsidRDefault="001365C1" w:rsidP="002F3EAB">
      <w:pPr>
        <w:spacing w:before="1" w:after="0" w:line="276" w:lineRule="exact"/>
        <w:ind w:left="516" w:right="74"/>
        <w:jc w:val="both"/>
      </w:pPr>
      <w:r>
        <w:rPr>
          <w:rFonts w:eastAsia="Times New Roman" w:cstheme="minorHAnsi"/>
        </w:rPr>
        <w:t>L</w:t>
      </w:r>
      <w:r w:rsidRPr="00517165">
        <w:rPr>
          <w:rFonts w:eastAsia="Times New Roman" w:cstheme="minorHAnsi"/>
        </w:rPr>
        <w:t>ékař</w:t>
      </w:r>
      <w:r>
        <w:rPr>
          <w:rFonts w:eastAsia="Times New Roman" w:cstheme="minorHAnsi"/>
        </w:rPr>
        <w:t>/předepisující</w:t>
      </w:r>
      <w:r w:rsidRPr="00517165">
        <w:rPr>
          <w:rFonts w:eastAsia="Times New Roman" w:cstheme="minorHAnsi"/>
        </w:rPr>
        <w:t xml:space="preserve"> vystaví dle smluvně závazné a aktuálně platné Metodiky pro pořizování a předávání dokladů novou Žádanku s uvedením konkrétního kódu krytí, požadovaného počtu balení, specifikace požadavku, zdůvodnění </w:t>
      </w:r>
      <w:r w:rsidR="00FB0990" w:rsidRPr="00EF51D5">
        <w:rPr>
          <w:rFonts w:eastAsia="Times New Roman" w:cstheme="minorHAnsi"/>
          <w:color w:val="00B0F0"/>
        </w:rPr>
        <w:t xml:space="preserve">a přiloží </w:t>
      </w:r>
      <w:r w:rsidR="00A17587" w:rsidRPr="00EF51D5">
        <w:rPr>
          <w:rFonts w:eastAsia="Times New Roman" w:cstheme="minorHAnsi"/>
          <w:color w:val="00B0F0"/>
        </w:rPr>
        <w:t xml:space="preserve">k Žádance </w:t>
      </w:r>
      <w:r w:rsidR="00FB0990" w:rsidRPr="00EF51D5">
        <w:rPr>
          <w:rFonts w:eastAsia="Times New Roman" w:cstheme="minorHAnsi"/>
          <w:color w:val="00B0F0"/>
        </w:rPr>
        <w:t xml:space="preserve"> fotodokumentaci defektu </w:t>
      </w:r>
      <w:r w:rsidR="00922CF3" w:rsidRPr="00EF51D5">
        <w:rPr>
          <w:rFonts w:eastAsia="Times New Roman" w:cstheme="minorHAnsi"/>
          <w:color w:val="00B0F0"/>
        </w:rPr>
        <w:t xml:space="preserve">pořízeného </w:t>
      </w:r>
      <w:r w:rsidR="00FB0990" w:rsidRPr="00EF51D5">
        <w:rPr>
          <w:rFonts w:eastAsia="Times New Roman" w:cstheme="minorHAnsi"/>
          <w:color w:val="00B0F0"/>
        </w:rPr>
        <w:t xml:space="preserve">v souladu s </w:t>
      </w:r>
      <w:hyperlink r:id="rId10" w:history="1">
        <w:r w:rsidR="00FB0990" w:rsidRPr="00EF51D5">
          <w:rPr>
            <w:rStyle w:val="Hypertextovodkaz"/>
            <w:rFonts w:eastAsia="Times New Roman" w:cstheme="minorHAnsi"/>
            <w:color w:val="00B0F0"/>
          </w:rPr>
          <w:t>Metodickým pokynem, kterým se stanoví pravidla k fotodokumentaci ran</w:t>
        </w:r>
      </w:hyperlink>
      <w:r w:rsidR="00FB0990" w:rsidRPr="00EF51D5">
        <w:rPr>
          <w:rFonts w:eastAsia="Times New Roman" w:cstheme="minorHAnsi"/>
          <w:color w:val="00B0F0"/>
        </w:rPr>
        <w:t xml:space="preserve"> uveřejněným ve Věstníku MZ ČR 8/2024</w:t>
      </w:r>
      <w:r w:rsidR="00813012" w:rsidRPr="00EF51D5">
        <w:rPr>
          <w:rFonts w:eastAsia="Times New Roman" w:cstheme="minorHAnsi"/>
          <w:color w:val="00B0F0"/>
        </w:rPr>
        <w:t xml:space="preserve"> a uvede informace o lokalizaci, velikosti vč. hloubky a popisu okrajů a spodiny rány a změnách v průběhu léčby</w:t>
      </w:r>
      <w:r w:rsidR="00641968" w:rsidRPr="00EF51D5">
        <w:rPr>
          <w:rFonts w:eastAsia="Times New Roman" w:cstheme="minorHAnsi"/>
          <w:color w:val="00B0F0"/>
        </w:rPr>
        <w:t>.</w:t>
      </w:r>
      <w:r w:rsidR="00922CF3" w:rsidRPr="00EF51D5">
        <w:rPr>
          <w:rFonts w:eastAsia="Times New Roman" w:cstheme="minorHAnsi"/>
          <w:color w:val="00B0F0"/>
        </w:rPr>
        <w:t xml:space="preserve"> V případě, že v okamžiku zaslání signálního kódu 0082747 nebyla do zdravotní pojišťovny zaslána fotodokumentace rány, bude k žádance připojena nejenom aktuální fotodokumentace rány (z doby vystavení nové žádosti o pokračování léčby vlhkým krytím), tak i fotodokumentace z doby zahájení léčby</w:t>
      </w:r>
      <w:r w:rsidR="003B68AD" w:rsidRPr="00EF51D5">
        <w:rPr>
          <w:rFonts w:eastAsia="Times New Roman" w:cstheme="minorHAnsi"/>
          <w:color w:val="00B0F0"/>
        </w:rPr>
        <w:t>, popř. pojištěncem</w:t>
      </w:r>
      <w:r w:rsidR="00D642D6" w:rsidRPr="00EF51D5">
        <w:rPr>
          <w:rFonts w:eastAsia="Times New Roman" w:cstheme="minorHAnsi"/>
          <w:color w:val="00B0F0"/>
        </w:rPr>
        <w:t xml:space="preserve"> podepsaný písemný nesouhlas z doby před zah</w:t>
      </w:r>
      <w:r w:rsidR="002A022E" w:rsidRPr="00EF51D5">
        <w:rPr>
          <w:rFonts w:eastAsia="Times New Roman" w:cstheme="minorHAnsi"/>
          <w:color w:val="00B0F0"/>
        </w:rPr>
        <w:t>ájením léčby</w:t>
      </w:r>
      <w:r w:rsidRPr="00EF51D5">
        <w:rPr>
          <w:rFonts w:eastAsia="Times New Roman" w:cstheme="minorHAnsi"/>
          <w:color w:val="00B0F0"/>
        </w:rPr>
        <w:t>.</w:t>
      </w:r>
      <w:r w:rsidRPr="00517165">
        <w:rPr>
          <w:rFonts w:eastAsia="Times New Roman" w:cstheme="minorHAnsi"/>
        </w:rPr>
        <w:t xml:space="preserve"> Poukaz může být vyplněn a předán pojištěnci až po obdržení souhlasu </w:t>
      </w:r>
      <w:r>
        <w:rPr>
          <w:rFonts w:eastAsia="Times New Roman" w:cstheme="minorHAnsi"/>
        </w:rPr>
        <w:t>zdravotní pojišťovny</w:t>
      </w:r>
      <w:r w:rsidRPr="00517165">
        <w:rPr>
          <w:rFonts w:eastAsia="Times New Roman" w:cstheme="minorHAnsi"/>
        </w:rPr>
        <w:t>.</w:t>
      </w:r>
    </w:p>
    <w:sectPr w:rsidR="0039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D2B68"/>
    <w:multiLevelType w:val="hybridMultilevel"/>
    <w:tmpl w:val="62C0F8B6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C1"/>
    <w:rsid w:val="000E6899"/>
    <w:rsid w:val="000F2F7D"/>
    <w:rsid w:val="000F3E13"/>
    <w:rsid w:val="001365C1"/>
    <w:rsid w:val="001540E5"/>
    <w:rsid w:val="001919DA"/>
    <w:rsid w:val="00202374"/>
    <w:rsid w:val="002355A5"/>
    <w:rsid w:val="002A022E"/>
    <w:rsid w:val="002B465F"/>
    <w:rsid w:val="002F3EAB"/>
    <w:rsid w:val="00316262"/>
    <w:rsid w:val="00393570"/>
    <w:rsid w:val="003B68AD"/>
    <w:rsid w:val="00426649"/>
    <w:rsid w:val="004408CB"/>
    <w:rsid w:val="00474FC2"/>
    <w:rsid w:val="004938FC"/>
    <w:rsid w:val="004B4D8A"/>
    <w:rsid w:val="004C705F"/>
    <w:rsid w:val="004F64FB"/>
    <w:rsid w:val="00543A06"/>
    <w:rsid w:val="005468BB"/>
    <w:rsid w:val="006329B4"/>
    <w:rsid w:val="00641968"/>
    <w:rsid w:val="00653D98"/>
    <w:rsid w:val="006873CF"/>
    <w:rsid w:val="00695824"/>
    <w:rsid w:val="006B029D"/>
    <w:rsid w:val="006D2A89"/>
    <w:rsid w:val="007469CD"/>
    <w:rsid w:val="00753D91"/>
    <w:rsid w:val="0079457D"/>
    <w:rsid w:val="007F0601"/>
    <w:rsid w:val="00813012"/>
    <w:rsid w:val="00864718"/>
    <w:rsid w:val="00884AFC"/>
    <w:rsid w:val="008C2267"/>
    <w:rsid w:val="008C6296"/>
    <w:rsid w:val="009017F4"/>
    <w:rsid w:val="00922CF3"/>
    <w:rsid w:val="009D0F68"/>
    <w:rsid w:val="00A17587"/>
    <w:rsid w:val="00A72BEC"/>
    <w:rsid w:val="00BB3C5B"/>
    <w:rsid w:val="00BB6218"/>
    <w:rsid w:val="00C27B8B"/>
    <w:rsid w:val="00C74609"/>
    <w:rsid w:val="00CA41E3"/>
    <w:rsid w:val="00D35A20"/>
    <w:rsid w:val="00D642D6"/>
    <w:rsid w:val="00D86052"/>
    <w:rsid w:val="00E03569"/>
    <w:rsid w:val="00E20092"/>
    <w:rsid w:val="00E27B64"/>
    <w:rsid w:val="00EC1CC0"/>
    <w:rsid w:val="00EE2A8D"/>
    <w:rsid w:val="00EF51D5"/>
    <w:rsid w:val="00F14D08"/>
    <w:rsid w:val="00F4437F"/>
    <w:rsid w:val="00F55630"/>
    <w:rsid w:val="00FB0990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44F3"/>
  <w15:chartTrackingRefBased/>
  <w15:docId w15:val="{1CABF887-BEBF-4A43-8B1F-7CD164A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5C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6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6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6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6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6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6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6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6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65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65C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65C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65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65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5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65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6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6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65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65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65C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6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65C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65C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365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65C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365C1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40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8C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8CB"/>
    <w:rPr>
      <w:b/>
      <w:bCs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B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p.cz/poskytovatele/vyuctovani-zdravotni-pece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zp.cz/poskytovatele/vyuctovani-zdravotni-pe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d.gov.cz/vestnik/vestnik-8-202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zd.gov.cz/vestnik/vestnik-8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zpcr.cz/zdravotnicke_prostredk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0196-3A66-45EA-AB18-9D59D3D6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Beneš</dc:creator>
  <cp:keywords/>
  <dc:description/>
  <cp:lastModifiedBy>Jan Beneš</cp:lastModifiedBy>
  <cp:revision>2</cp:revision>
  <dcterms:created xsi:type="dcterms:W3CDTF">2025-01-30T09:54:00Z</dcterms:created>
  <dcterms:modified xsi:type="dcterms:W3CDTF">2025-01-30T09:54:00Z</dcterms:modified>
</cp:coreProperties>
</file>